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47" w:rsidRDefault="002327DE" w:rsidP="009606BF">
      <w:pPr>
        <w:spacing w:after="0" w:line="240" w:lineRule="auto"/>
        <w:ind w:left="0" w:right="701"/>
        <w:jc w:val="center"/>
        <w:rPr>
          <w:rFonts w:eastAsia="Times New Roman" w:cs="Arial"/>
          <w:b/>
          <w:lang w:val="ro-RO"/>
        </w:rPr>
      </w:pPr>
      <w:r>
        <w:rPr>
          <w:rFonts w:eastAsia="Times New Roman" w:cs="Arial"/>
          <w:b/>
          <w:lang w:val="ro-RO"/>
        </w:rPr>
        <w:t xml:space="preserve">                                                                      </w:t>
      </w:r>
    </w:p>
    <w:p w:rsidR="00B12420" w:rsidRDefault="000907A6" w:rsidP="000907A6">
      <w:pPr>
        <w:spacing w:after="0" w:line="240" w:lineRule="auto"/>
        <w:ind w:left="5580" w:firstLine="900"/>
        <w:jc w:val="center"/>
        <w:rPr>
          <w:rFonts w:eastAsia="Times New Roman" w:cs="Arial"/>
          <w:b/>
          <w:lang w:val="ro-RO"/>
        </w:rPr>
      </w:pPr>
      <w:r>
        <w:rPr>
          <w:rFonts w:eastAsia="Times New Roman" w:cs="Arial"/>
          <w:b/>
          <w:lang w:val="ro-RO"/>
        </w:rPr>
        <w:t xml:space="preserve"> Aprob,</w:t>
      </w:r>
    </w:p>
    <w:p w:rsidR="000907A6" w:rsidRDefault="000907A6" w:rsidP="000907A6">
      <w:pPr>
        <w:spacing w:after="0" w:line="240" w:lineRule="auto"/>
        <w:ind w:left="-180"/>
        <w:jc w:val="right"/>
        <w:rPr>
          <w:rFonts w:eastAsia="Times New Roman" w:cs="Arial"/>
          <w:b/>
          <w:lang w:val="ro-RO"/>
        </w:rPr>
      </w:pPr>
      <w:r>
        <w:rPr>
          <w:rFonts w:eastAsia="Times New Roman" w:cs="Arial"/>
          <w:b/>
          <w:lang w:val="ro-RO"/>
        </w:rPr>
        <w:t>Raluca Alexandra PRUNĂ</w:t>
      </w:r>
    </w:p>
    <w:p w:rsidR="000907A6" w:rsidRDefault="000907A6" w:rsidP="000907A6">
      <w:pPr>
        <w:spacing w:after="0" w:line="240" w:lineRule="auto"/>
        <w:ind w:left="-180"/>
        <w:jc w:val="right"/>
        <w:rPr>
          <w:rFonts w:eastAsia="Times New Roman" w:cs="Arial"/>
          <w:b/>
          <w:lang w:val="ro-RO"/>
        </w:rPr>
      </w:pPr>
    </w:p>
    <w:p w:rsidR="000907A6" w:rsidRDefault="000907A6" w:rsidP="000907A6">
      <w:pPr>
        <w:spacing w:after="0" w:line="240" w:lineRule="auto"/>
        <w:ind w:left="-180"/>
        <w:jc w:val="right"/>
        <w:rPr>
          <w:rFonts w:eastAsia="Times New Roman" w:cs="Arial"/>
          <w:b/>
          <w:lang w:val="ro-RO"/>
        </w:rPr>
      </w:pPr>
    </w:p>
    <w:p w:rsidR="000907A6" w:rsidRDefault="000907A6" w:rsidP="000907A6">
      <w:pPr>
        <w:spacing w:after="0" w:line="240" w:lineRule="auto"/>
        <w:ind w:left="6300" w:firstLine="900"/>
        <w:rPr>
          <w:rFonts w:eastAsia="Times New Roman" w:cs="Arial"/>
          <w:b/>
          <w:lang w:val="ro-RO"/>
        </w:rPr>
      </w:pPr>
      <w:r>
        <w:rPr>
          <w:rFonts w:eastAsia="Times New Roman" w:cs="Arial"/>
          <w:b/>
          <w:lang w:val="ro-RO"/>
        </w:rPr>
        <w:t xml:space="preserve">  Ministru</w:t>
      </w:r>
    </w:p>
    <w:p w:rsidR="000907A6" w:rsidRDefault="000907A6" w:rsidP="000907A6">
      <w:pPr>
        <w:spacing w:after="0" w:line="240" w:lineRule="auto"/>
        <w:ind w:left="-180"/>
        <w:jc w:val="right"/>
        <w:rPr>
          <w:rFonts w:eastAsia="Times New Roman" w:cs="Arial"/>
          <w:b/>
          <w:lang w:val="ro-RO"/>
        </w:rPr>
      </w:pPr>
    </w:p>
    <w:p w:rsidR="00DF3520" w:rsidRDefault="00DF3520" w:rsidP="009606BF">
      <w:pPr>
        <w:spacing w:after="0" w:line="240" w:lineRule="auto"/>
        <w:ind w:left="-180"/>
        <w:jc w:val="center"/>
        <w:rPr>
          <w:rFonts w:eastAsia="Times New Roman" w:cs="Arial"/>
          <w:b/>
          <w:lang w:val="ro-RO"/>
        </w:rPr>
      </w:pPr>
    </w:p>
    <w:p w:rsidR="009606BF" w:rsidRPr="009606BF" w:rsidRDefault="009606BF" w:rsidP="000907A6">
      <w:pPr>
        <w:spacing w:after="0" w:line="240" w:lineRule="auto"/>
        <w:ind w:left="0"/>
        <w:jc w:val="center"/>
        <w:rPr>
          <w:rFonts w:eastAsia="Times New Roman" w:cs="Arial"/>
          <w:b/>
          <w:lang w:val="ro-RO"/>
        </w:rPr>
      </w:pPr>
      <w:r w:rsidRPr="009606BF">
        <w:rPr>
          <w:rFonts w:eastAsia="Times New Roman" w:cs="Arial"/>
          <w:b/>
          <w:lang w:val="ro-RO"/>
        </w:rPr>
        <w:t>REFERAT DE APROBARE</w:t>
      </w:r>
    </w:p>
    <w:p w:rsidR="009606BF" w:rsidRPr="009606BF" w:rsidRDefault="009606BF" w:rsidP="003127EA">
      <w:pPr>
        <w:spacing w:after="0" w:line="240" w:lineRule="auto"/>
        <w:ind w:left="-1276"/>
        <w:jc w:val="center"/>
        <w:rPr>
          <w:rFonts w:eastAsia="Times New Roman" w:cs="Arial"/>
          <w:b/>
          <w:lang w:val="ro-RO"/>
        </w:rPr>
      </w:pPr>
    </w:p>
    <w:p w:rsidR="000C3AD7" w:rsidRPr="009606BF" w:rsidRDefault="003A6900" w:rsidP="000907A6">
      <w:pPr>
        <w:spacing w:after="0" w:line="240" w:lineRule="auto"/>
        <w:ind w:left="0" w:right="-25"/>
        <w:rPr>
          <w:rFonts w:eastAsia="Times New Roman" w:cs="Arial"/>
          <w:b/>
          <w:lang w:val="ro-RO" w:eastAsia="ro-RO"/>
        </w:rPr>
      </w:pPr>
      <w:r>
        <w:rPr>
          <w:rFonts w:eastAsia="Times New Roman" w:cs="Arial"/>
          <w:b/>
          <w:lang w:val="ro-RO" w:eastAsia="ro-RO"/>
        </w:rPr>
        <w:t>a proiectului de O</w:t>
      </w:r>
      <w:r w:rsidR="009606BF" w:rsidRPr="009606BF">
        <w:rPr>
          <w:rFonts w:eastAsia="Times New Roman" w:cs="Arial"/>
          <w:b/>
          <w:lang w:val="ro-RO" w:eastAsia="ro-RO"/>
        </w:rPr>
        <w:t>rdin al ministrului justiţiei</w:t>
      </w:r>
      <w:r w:rsidR="000C3AD7">
        <w:rPr>
          <w:rFonts w:eastAsia="Times New Roman" w:cs="Arial"/>
          <w:b/>
          <w:lang w:val="ro-RO" w:eastAsia="ro-RO"/>
        </w:rPr>
        <w:t xml:space="preserve"> şi al ministrului finanţelor publice pentru </w:t>
      </w:r>
      <w:r w:rsidR="000C3AD7" w:rsidRPr="000C3AD7">
        <w:rPr>
          <w:rFonts w:eastAsia="Times New Roman" w:cs="Arial"/>
          <w:b/>
          <w:lang w:val="ro-RO" w:eastAsia="ro-RO"/>
        </w:rPr>
        <w:t>aprob</w:t>
      </w:r>
      <w:r w:rsidR="000C3AD7">
        <w:rPr>
          <w:rFonts w:eastAsia="Times New Roman" w:cs="Arial"/>
          <w:b/>
          <w:lang w:val="ro-RO" w:eastAsia="ro-RO"/>
        </w:rPr>
        <w:t>area</w:t>
      </w:r>
      <w:r w:rsidR="000C3AD7" w:rsidRPr="000C3AD7">
        <w:rPr>
          <w:rFonts w:eastAsia="Times New Roman" w:cs="Arial"/>
          <w:b/>
          <w:lang w:val="ro-RO" w:eastAsia="ro-RO"/>
        </w:rPr>
        <w:t xml:space="preserve"> metodologi</w:t>
      </w:r>
      <w:r w:rsidR="000C3AD7">
        <w:rPr>
          <w:rFonts w:eastAsia="Times New Roman" w:cs="Arial"/>
          <w:b/>
          <w:lang w:val="ro-RO" w:eastAsia="ro-RO"/>
        </w:rPr>
        <w:t>ei</w:t>
      </w:r>
      <w:r w:rsidR="000C3AD7" w:rsidRPr="000C3AD7">
        <w:rPr>
          <w:rFonts w:eastAsia="Times New Roman" w:cs="Arial"/>
          <w:b/>
          <w:lang w:val="ro-RO" w:eastAsia="ro-RO"/>
        </w:rPr>
        <w:t xml:space="preserve"> de lucru privind evaluarea şi valorificarea bunurilor mobile sechestrate</w:t>
      </w:r>
    </w:p>
    <w:p w:rsidR="000907A6" w:rsidRDefault="000907A6" w:rsidP="000907A6">
      <w:pPr>
        <w:tabs>
          <w:tab w:val="left" w:pos="540"/>
          <w:tab w:val="left" w:pos="748"/>
        </w:tabs>
        <w:spacing w:after="0" w:line="240" w:lineRule="auto"/>
        <w:ind w:left="0" w:right="-25"/>
        <w:rPr>
          <w:rFonts w:eastAsia="Times New Roman" w:cs="Arial"/>
          <w:lang w:val="ro-RO"/>
        </w:rPr>
      </w:pPr>
    </w:p>
    <w:p w:rsidR="008641C9" w:rsidRDefault="008641C9" w:rsidP="000907A6">
      <w:pPr>
        <w:tabs>
          <w:tab w:val="left" w:pos="540"/>
          <w:tab w:val="left" w:pos="748"/>
        </w:tabs>
        <w:spacing w:after="0" w:line="240" w:lineRule="auto"/>
        <w:ind w:left="0" w:right="-25"/>
        <w:rPr>
          <w:rFonts w:eastAsia="Times New Roman" w:cs="Arial"/>
          <w:lang w:val="ro-RO"/>
        </w:rPr>
      </w:pPr>
    </w:p>
    <w:p w:rsidR="00A7366C" w:rsidRDefault="008641C9" w:rsidP="008641C9">
      <w:pPr>
        <w:tabs>
          <w:tab w:val="left" w:pos="10260"/>
        </w:tabs>
        <w:autoSpaceDE w:val="0"/>
        <w:autoSpaceDN w:val="0"/>
        <w:adjustRightInd w:val="0"/>
        <w:spacing w:after="0" w:line="240" w:lineRule="auto"/>
        <w:ind w:left="0" w:right="-25"/>
        <w:rPr>
          <w:rFonts w:eastAsia="Times New Roman" w:cs="Arial"/>
          <w:lang w:val="ro-RO"/>
        </w:rPr>
      </w:pPr>
      <w:r>
        <w:rPr>
          <w:rFonts w:eastAsia="Times New Roman" w:cs="Arial"/>
          <w:lang w:val="ro-RO" w:eastAsia="ro-RO"/>
        </w:rPr>
        <w:t>Conform art. 29 din Legea 3</w:t>
      </w:r>
      <w:r w:rsidRPr="00BB740C">
        <w:rPr>
          <w:rFonts w:eastAsia="Times New Roman" w:cs="Arial"/>
          <w:lang w:val="ro-RO" w:eastAsia="ro-RO"/>
        </w:rPr>
        <w:t>18/2015 pentru înfiinţarea, organizarea şi funcţionarea Agenţiei Naţionale de Administrare a Bunu</w:t>
      </w:r>
      <w:bookmarkStart w:id="0" w:name="_GoBack"/>
      <w:bookmarkEnd w:id="0"/>
      <w:r w:rsidRPr="00BB740C">
        <w:rPr>
          <w:rFonts w:eastAsia="Times New Roman" w:cs="Arial"/>
          <w:lang w:val="ro-RO" w:eastAsia="ro-RO"/>
        </w:rPr>
        <w:t>rilor Indisponibilizate şi pentru modificarea şi</w:t>
      </w:r>
      <w:r>
        <w:rPr>
          <w:rFonts w:eastAsia="Times New Roman" w:cs="Arial"/>
          <w:lang w:val="ro-RO" w:eastAsia="ro-RO"/>
        </w:rPr>
        <w:t xml:space="preserve"> completarea unor acte normative:</w:t>
      </w:r>
    </w:p>
    <w:p w:rsidR="002912C7" w:rsidRDefault="002912C7" w:rsidP="000907A6">
      <w:pPr>
        <w:tabs>
          <w:tab w:val="left" w:pos="10260"/>
        </w:tabs>
        <w:autoSpaceDE w:val="0"/>
        <w:autoSpaceDN w:val="0"/>
        <w:adjustRightInd w:val="0"/>
        <w:spacing w:after="0" w:line="240" w:lineRule="auto"/>
        <w:ind w:left="0" w:right="-25"/>
        <w:rPr>
          <w:rFonts w:eastAsia="Times New Roman" w:cs="Arial"/>
          <w:lang w:val="ro-RO" w:eastAsia="ro-RO"/>
        </w:rPr>
      </w:pP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Art. 29. - (1) Din dispoziţia procurorului, a judecătorului de drepturi şi libertăţi sau a instanţei de judecată, Agenţia procedează la valorificarea de îndată a bunurilor mobile sechestrate, în cazurile prevăzute de art. 2521 din Legea nr. 135/2010, cu modificările şi completările ulterioare, precum şi cu cele aduse prin prezenta lege.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(2) Bunurile prevăzute la alin. (1) sunt predate Agenţiei în temeiul unui proces-verbal de predare-preluare încheiat între Agenţie şi organele care duc la îndeplinire măsurile asigurătorii, potrivit art. 251 din Legea nr. 135/2010, cu modificările şi completările ulterioare. Modelul procesului-verbal se stabileşte prin protocolul privind procedurile de cooperare în materia administrării şi valorificării bunurilor sechestrate şi confiscate, prevăzut la art. 4 alin. (2).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(3) În baza informaţiilor gestionate prin sistemul informatic naţional integrat de evidenţă a creanţelor provenite din infracţiuni, Agenţia poate propune, din oficiu, procurorului, judecătorului de drepturi şi libertăţi sau instanţei de judecată iniţierea procedurii de valorificare a bunurilor mobile sechestrate.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(4) Agenţia este autorizată, cu aprobarea prealabilă a procurorului sau, după caz, a instanţei de judecată, să obţină acordul proprietarului bunului în vederea valorificării în condiţiile art. 2521-2524 din Legea nr. 135/2010, cu modificările şi completările ulterioare, precum şi cu cele aduse prin prezenta lege.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(5) Valorificarea bunurilor prevăzute la alin. (1) se realizează: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   a) de către Agenţie, prin licitaţie publică;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   b) de către entităţi sau societăţi specializate, selectate cu respectarea prevederilor legale privind achiziţiile publice;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   c) prin intermediul executorilor judecătoreşti, potrivit procedurilor proprii;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   d) de către organele fiscale, potrivit procedurilor proprii de valorificare.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u w:val="single"/>
          <w:lang w:val="ro-RO" w:eastAsia="ro-RO"/>
        </w:rPr>
        <w:t>(6) Directorul general al Agenţiei decide asupra uneia din modalităţile de valorificare enumerate la alin. (5), în conformitate cu metodologia de lucru privind evaluarea şi valorificarea bunurilor mobile sechestrate. Metodologia de lucru este avizată de Consiliu şi se aprobă prin ordin comun al ministrului justiţiei şi al ministrului finanţelor publice</w:t>
      </w:r>
      <w:r w:rsidRPr="00EF39F0">
        <w:rPr>
          <w:rFonts w:eastAsia="Times New Roman" w:cs="Arial"/>
          <w:i/>
          <w:lang w:val="ro-RO" w:eastAsia="ro-RO"/>
        </w:rPr>
        <w:t xml:space="preserve">.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 xml:space="preserve">(7) În vederea stabilirii preţului la care se valorifică bunurile prevăzute la alin. (1), Agenţia poate angaja evaluatori autorizaţi, în condiţiile legii. În cazurile prevăzute la </w:t>
      </w:r>
      <w:r w:rsidRPr="00EF39F0">
        <w:rPr>
          <w:rFonts w:eastAsia="Times New Roman" w:cs="Arial"/>
          <w:i/>
          <w:lang w:val="ro-RO" w:eastAsia="ro-RO"/>
        </w:rPr>
        <w:lastRenderedPageBreak/>
        <w:t xml:space="preserve">alin. (5) lit. b)-d), bunurile se valorifică la preţul stabilit de Agenţie, conform metodologiei de lucru prevăzute la alin. (6).  </w:t>
      </w:r>
    </w:p>
    <w:p w:rsidR="002912C7" w:rsidRPr="00EF39F0" w:rsidRDefault="002912C7" w:rsidP="002912C7">
      <w:pPr>
        <w:tabs>
          <w:tab w:val="left" w:pos="10260"/>
        </w:tabs>
        <w:autoSpaceDE w:val="0"/>
        <w:autoSpaceDN w:val="0"/>
        <w:adjustRightInd w:val="0"/>
        <w:spacing w:after="0" w:line="240" w:lineRule="auto"/>
        <w:ind w:left="0" w:right="-25"/>
        <w:rPr>
          <w:rFonts w:eastAsia="Times New Roman" w:cs="Arial"/>
          <w:i/>
          <w:lang w:val="ro-RO" w:eastAsia="ro-RO"/>
        </w:rPr>
      </w:pPr>
      <w:r w:rsidRPr="00EF39F0">
        <w:rPr>
          <w:rFonts w:eastAsia="Times New Roman" w:cs="Arial"/>
          <w:i/>
          <w:lang w:val="ro-RO" w:eastAsia="ro-RO"/>
        </w:rPr>
        <w:t>(8) În cazul în care bunurile nu se vând în termen de 6 luni de la comunicarea dispoziţiei prevăzute la alin. (1), Agenţia informează procurorul, judecătorul de drepturi şi libertăţi sau instanţa de judecată.</w:t>
      </w:r>
    </w:p>
    <w:p w:rsidR="002912C7" w:rsidRDefault="002912C7" w:rsidP="002912C7">
      <w:pPr>
        <w:tabs>
          <w:tab w:val="left" w:pos="10260"/>
        </w:tabs>
        <w:autoSpaceDE w:val="0"/>
        <w:autoSpaceDN w:val="0"/>
        <w:adjustRightInd w:val="0"/>
        <w:spacing w:after="0" w:line="240" w:lineRule="auto"/>
        <w:ind w:left="0" w:right="-25"/>
        <w:rPr>
          <w:rFonts w:eastAsia="Times New Roman" w:cs="Arial"/>
          <w:lang w:val="ro-RO" w:eastAsia="ro-RO"/>
        </w:rPr>
      </w:pPr>
    </w:p>
    <w:p w:rsidR="00191D0B" w:rsidRDefault="00191D0B" w:rsidP="000907A6">
      <w:pPr>
        <w:tabs>
          <w:tab w:val="left" w:pos="540"/>
          <w:tab w:val="left" w:pos="748"/>
          <w:tab w:val="left" w:pos="10260"/>
        </w:tabs>
        <w:spacing w:after="0" w:line="240" w:lineRule="auto"/>
        <w:ind w:left="0" w:right="-25"/>
        <w:rPr>
          <w:rFonts w:eastAsia="Times New Roman" w:cs="Arial"/>
          <w:i/>
          <w:lang w:val="ro-RO" w:eastAsia="ro-RO"/>
        </w:rPr>
      </w:pPr>
      <w:r w:rsidRPr="009606BF">
        <w:rPr>
          <w:rFonts w:eastAsia="Times New Roman" w:cs="Arial"/>
          <w:lang w:val="ro-RO" w:eastAsia="ro-RO"/>
        </w:rPr>
        <w:t xml:space="preserve">Temeiul  legal al emiterii ordinului </w:t>
      </w:r>
      <w:r w:rsidR="008A2330">
        <w:rPr>
          <w:rFonts w:eastAsia="Times New Roman" w:cs="Arial"/>
          <w:lang w:val="ro-RO" w:eastAsia="ro-RO"/>
        </w:rPr>
        <w:t xml:space="preserve">ministrului justiţiei </w:t>
      </w:r>
      <w:r w:rsidRPr="009606BF">
        <w:rPr>
          <w:rFonts w:eastAsia="Times New Roman" w:cs="Arial"/>
          <w:lang w:val="ro-RO" w:eastAsia="ro-RO"/>
        </w:rPr>
        <w:t>îl reprezintă prevederile art. 13 din Hotărâre</w:t>
      </w:r>
      <w:r>
        <w:rPr>
          <w:rFonts w:eastAsia="Times New Roman" w:cs="Arial"/>
          <w:lang w:val="ro-RO" w:eastAsia="ro-RO"/>
        </w:rPr>
        <w:t>a</w:t>
      </w:r>
      <w:r w:rsidRPr="009606BF">
        <w:rPr>
          <w:rFonts w:eastAsia="Times New Roman" w:cs="Arial"/>
          <w:lang w:val="ro-RO" w:eastAsia="ro-RO"/>
        </w:rPr>
        <w:t xml:space="preserve"> Guvernului nr. 652/2009 privind organizarea şi funcţionarea Ministerului Justiţiei, cu modifică</w:t>
      </w:r>
      <w:r w:rsidR="000907A6">
        <w:rPr>
          <w:rFonts w:eastAsia="Times New Roman" w:cs="Arial"/>
          <w:lang w:val="ro-RO" w:eastAsia="ro-RO"/>
        </w:rPr>
        <w:t>rile şi completările ulterioare:</w:t>
      </w:r>
      <w:r w:rsidRPr="009606BF">
        <w:rPr>
          <w:rFonts w:eastAsia="Times New Roman" w:cs="Arial"/>
          <w:lang w:val="ro-RO" w:eastAsia="ro-RO"/>
        </w:rPr>
        <w:t xml:space="preserve"> </w:t>
      </w:r>
      <w:r w:rsidRPr="009606BF">
        <w:rPr>
          <w:rFonts w:eastAsia="Times New Roman" w:cs="Arial"/>
          <w:i/>
          <w:lang w:val="ro-RO" w:eastAsia="ro-RO"/>
        </w:rPr>
        <w:t>„</w:t>
      </w:r>
      <w:r w:rsidR="000907A6">
        <w:rPr>
          <w:rFonts w:eastAsia="Times New Roman" w:cs="Arial"/>
          <w:i/>
          <w:lang w:val="ro-RO" w:eastAsia="ro-RO"/>
        </w:rPr>
        <w:t>î</w:t>
      </w:r>
      <w:r w:rsidRPr="009606BF">
        <w:rPr>
          <w:rFonts w:eastAsia="Times New Roman" w:cs="Arial"/>
          <w:i/>
          <w:lang w:val="ro-RO" w:eastAsia="ro-RO"/>
        </w:rPr>
        <w:t>n exercitarea atribuţiilor sale, ministrul emite ordine şi instrucţiuni scrise”.</w:t>
      </w:r>
    </w:p>
    <w:p w:rsidR="000907A6" w:rsidRDefault="000907A6" w:rsidP="000907A6">
      <w:pPr>
        <w:tabs>
          <w:tab w:val="left" w:pos="540"/>
          <w:tab w:val="left" w:pos="748"/>
          <w:tab w:val="left" w:pos="10260"/>
        </w:tabs>
        <w:spacing w:after="0" w:line="240" w:lineRule="auto"/>
        <w:ind w:left="0" w:right="-25"/>
        <w:rPr>
          <w:rFonts w:eastAsia="Times New Roman" w:cs="Arial"/>
          <w:i/>
          <w:lang w:val="ro-RO" w:eastAsia="ro-RO"/>
        </w:rPr>
      </w:pPr>
    </w:p>
    <w:sectPr w:rsidR="000907A6" w:rsidSect="00A7366C">
      <w:headerReference w:type="default" r:id="rId8"/>
      <w:footerReference w:type="default" r:id="rId9"/>
      <w:headerReference w:type="first" r:id="rId10"/>
      <w:footerReference w:type="first" r:id="rId11"/>
      <w:pgSz w:w="11900" w:h="16840"/>
      <w:pgMar w:top="1134"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C1" w:rsidRDefault="001338C1" w:rsidP="00CD5B3B">
      <w:r>
        <w:separator/>
      </w:r>
    </w:p>
  </w:endnote>
  <w:endnote w:type="continuationSeparator" w:id="0">
    <w:p w:rsidR="001338C1" w:rsidRDefault="001338C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036CF6" w:rsidRPr="009606BF" w:rsidTr="008C59B4">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5C01EEFB" wp14:editId="513A012D">
                <wp:extent cx="857250" cy="428625"/>
                <wp:effectExtent l="0" t="0" r="0" b="9525"/>
                <wp:docPr id="2" name="I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1338C1"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036CF6" w:rsidRPr="009606BF">
              <w:rPr>
                <w:color w:val="0563C1"/>
                <w:sz w:val="14"/>
                <w:szCs w:val="14"/>
                <w:u w:val="single"/>
              </w:rPr>
              <w:t>www.just.ro</w:t>
            </w:r>
          </w:hyperlink>
        </w:p>
      </w:tc>
      <w:tc>
        <w:tcPr>
          <w:tcW w:w="2981" w:type="dxa"/>
          <w:shd w:val="clear" w:color="auto" w:fill="auto"/>
          <w:vAlign w:val="center"/>
        </w:tcPr>
        <w:p w:rsidR="00036CF6" w:rsidRPr="00763EB6" w:rsidRDefault="00036CF6" w:rsidP="00036CF6">
          <w:pPr>
            <w:tabs>
              <w:tab w:val="center" w:pos="4536"/>
              <w:tab w:val="right" w:pos="9072"/>
            </w:tabs>
            <w:spacing w:after="0" w:line="240" w:lineRule="auto"/>
            <w:ind w:left="0"/>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A26798">
            <w:rPr>
              <w:noProof/>
              <w:sz w:val="14"/>
              <w:szCs w:val="14"/>
              <w:lang w:val="es-ES"/>
            </w:rPr>
            <w:t>2</w:t>
          </w:r>
          <w:r w:rsidRPr="00036CF6">
            <w:rPr>
              <w:sz w:val="14"/>
              <w:szCs w:val="14"/>
            </w:rPr>
            <w:fldChar w:fldCharType="end"/>
          </w:r>
          <w:r w:rsidRPr="00763EB6">
            <w:rPr>
              <w:sz w:val="14"/>
              <w:szCs w:val="14"/>
              <w:lang w:val="es-ES"/>
            </w:rPr>
            <w:t xml:space="preserve"> din </w:t>
          </w:r>
          <w:r w:rsidRPr="00036CF6">
            <w:rPr>
              <w:sz w:val="14"/>
              <w:szCs w:val="14"/>
            </w:rPr>
            <w:fldChar w:fldCharType="begin"/>
          </w:r>
          <w:r w:rsidRPr="00763EB6">
            <w:rPr>
              <w:sz w:val="14"/>
              <w:szCs w:val="14"/>
              <w:lang w:val="es-ES"/>
            </w:rPr>
            <w:instrText xml:space="preserve"> SECTIONPAGES   \* MERGEFORMAT </w:instrText>
          </w:r>
          <w:r w:rsidRPr="00036CF6">
            <w:rPr>
              <w:sz w:val="14"/>
              <w:szCs w:val="14"/>
            </w:rPr>
            <w:fldChar w:fldCharType="separate"/>
          </w:r>
          <w:r w:rsidR="00A26798">
            <w:rPr>
              <w:noProof/>
              <w:sz w:val="14"/>
              <w:szCs w:val="14"/>
              <w:lang w:val="es-ES"/>
            </w:rPr>
            <w:t>2</w:t>
          </w:r>
          <w:r w:rsidRPr="00036CF6">
            <w:rPr>
              <w:sz w:val="14"/>
              <w:szCs w:val="14"/>
            </w:rPr>
            <w:fldChar w:fldCharType="end"/>
          </w:r>
        </w:p>
        <w:p w:rsidR="00036CF6" w:rsidRPr="00763EB6" w:rsidRDefault="00036CF6" w:rsidP="00036CF6">
          <w:pPr>
            <w:tabs>
              <w:tab w:val="center" w:pos="4536"/>
              <w:tab w:val="right" w:pos="9072"/>
            </w:tabs>
            <w:spacing w:after="0" w:line="240" w:lineRule="auto"/>
            <w:ind w:left="0"/>
            <w:jc w:val="right"/>
            <w:rPr>
              <w:sz w:val="14"/>
              <w:szCs w:val="14"/>
              <w:lang w:val="es-ES"/>
            </w:rPr>
          </w:pPr>
        </w:p>
        <w:p w:rsidR="00036CF6" w:rsidRPr="00036CF6" w:rsidRDefault="00036CF6" w:rsidP="002327DE">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E80D5E" w:rsidRPr="00763EB6" w:rsidRDefault="00E80D5E" w:rsidP="00E80D5E">
    <w:pPr>
      <w:pStyle w:val="Footer"/>
      <w:ind w:left="0"/>
      <w:rPr>
        <w:sz w:val="14"/>
        <w:szCs w:val="1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036CF6" w:rsidRPr="009606BF" w:rsidTr="00036CF6">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489DD343" wp14:editId="69BE88DB">
                <wp:extent cx="857250" cy="428625"/>
                <wp:effectExtent l="0" t="0" r="0" b="9525"/>
                <wp:docPr id="4" name="Imagin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1338C1" w:rsidP="00036CF6">
          <w:pPr>
            <w:tabs>
              <w:tab w:val="center" w:pos="4320"/>
              <w:tab w:val="right" w:pos="8640"/>
            </w:tabs>
            <w:spacing w:after="0"/>
            <w:ind w:left="0"/>
            <w:rPr>
              <w:sz w:val="14"/>
              <w:szCs w:val="14"/>
            </w:rPr>
          </w:pPr>
          <w:hyperlink r:id="rId2" w:history="1">
            <w:r w:rsidR="00036CF6" w:rsidRPr="009606BF">
              <w:rPr>
                <w:color w:val="0563C1"/>
                <w:sz w:val="14"/>
                <w:szCs w:val="14"/>
                <w:u w:val="single"/>
              </w:rPr>
              <w:t>www.just.ro</w:t>
            </w:r>
          </w:hyperlink>
        </w:p>
        <w:p w:rsidR="00036CF6" w:rsidRPr="00036CF6" w:rsidRDefault="00036CF6"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036CF6" w:rsidRPr="00763EB6" w:rsidRDefault="00036CF6" w:rsidP="00036CF6">
          <w:pPr>
            <w:tabs>
              <w:tab w:val="center" w:pos="4536"/>
              <w:tab w:val="right" w:pos="9072"/>
            </w:tabs>
            <w:spacing w:after="0" w:line="240" w:lineRule="auto"/>
            <w:ind w:left="0"/>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A26798">
            <w:rPr>
              <w:noProof/>
              <w:sz w:val="14"/>
              <w:szCs w:val="14"/>
              <w:lang w:val="es-ES"/>
            </w:rPr>
            <w:t>1</w:t>
          </w:r>
          <w:r w:rsidRPr="00036CF6">
            <w:rPr>
              <w:sz w:val="14"/>
              <w:szCs w:val="14"/>
            </w:rPr>
            <w:fldChar w:fldCharType="end"/>
          </w:r>
          <w:r w:rsidRPr="00763EB6">
            <w:rPr>
              <w:sz w:val="14"/>
              <w:szCs w:val="14"/>
              <w:lang w:val="es-ES"/>
            </w:rPr>
            <w:t xml:space="preserve"> din </w:t>
          </w:r>
          <w:r w:rsidR="00DF3520">
            <w:rPr>
              <w:sz w:val="14"/>
              <w:szCs w:val="14"/>
            </w:rPr>
            <w:t>1</w:t>
          </w:r>
        </w:p>
        <w:p w:rsidR="00036CF6" w:rsidRPr="00763EB6" w:rsidRDefault="00036CF6" w:rsidP="00036CF6">
          <w:pPr>
            <w:tabs>
              <w:tab w:val="center" w:pos="4536"/>
              <w:tab w:val="right" w:pos="9072"/>
            </w:tabs>
            <w:spacing w:after="0" w:line="240" w:lineRule="auto"/>
            <w:ind w:left="0"/>
            <w:jc w:val="right"/>
            <w:rPr>
              <w:sz w:val="14"/>
              <w:szCs w:val="14"/>
              <w:lang w:val="es-ES"/>
            </w:rPr>
          </w:pPr>
        </w:p>
        <w:p w:rsidR="00036CF6" w:rsidRPr="00036CF6" w:rsidRDefault="00036CF6" w:rsidP="003D5AD7">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E80D5E" w:rsidRPr="00763EB6" w:rsidRDefault="00E80D5E" w:rsidP="00036CF6">
    <w:pPr>
      <w:pStyle w:val="Footer"/>
      <w:ind w:left="0"/>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C1" w:rsidRDefault="001338C1" w:rsidP="00CD5B3B">
      <w:r>
        <w:separator/>
      </w:r>
    </w:p>
  </w:footnote>
  <w:footnote w:type="continuationSeparator" w:id="0">
    <w:p w:rsidR="001338C1" w:rsidRDefault="001338C1"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0E" w:rsidRDefault="0094530E" w:rsidP="008A4458">
    <w:pPr>
      <w:pStyle w:val="Header"/>
      <w:ind w:left="0"/>
    </w:pPr>
  </w:p>
  <w:p w:rsidR="00E80D5E" w:rsidRPr="00CD5B3B" w:rsidRDefault="00E80D5E" w:rsidP="008A4458">
    <w:pPr>
      <w:pStyle w:val="Header"/>
      <w:ind w:left="0"/>
    </w:pPr>
    <w:r>
      <w:rPr>
        <w:noProof/>
      </w:rPr>
      <w:drawing>
        <wp:inline distT="0" distB="0" distL="0" distR="0" wp14:anchorId="775A9DA7" wp14:editId="6A5F1051">
          <wp:extent cx="1959610" cy="201930"/>
          <wp:effectExtent l="0" t="0" r="2540" b="7620"/>
          <wp:docPr id="1"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rsidTr="008A4458">
      <w:tc>
        <w:tcPr>
          <w:tcW w:w="6804" w:type="dxa"/>
          <w:shd w:val="clear" w:color="auto" w:fill="auto"/>
        </w:tcPr>
        <w:p w:rsidR="00E80D5E" w:rsidRPr="00CD5B3B" w:rsidRDefault="00E80D5E" w:rsidP="00C20EF1">
          <w:pPr>
            <w:pStyle w:val="MediumGrid21"/>
          </w:pPr>
          <w:r>
            <w:rPr>
              <w:noProof/>
            </w:rPr>
            <w:drawing>
              <wp:inline distT="0" distB="0" distL="0" distR="0" wp14:anchorId="394C0E10" wp14:editId="35C4592D">
                <wp:extent cx="3028315" cy="902335"/>
                <wp:effectExtent l="0" t="0" r="635" b="0"/>
                <wp:docPr id="3"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rsidR="00E80D5E" w:rsidRDefault="00E80D5E" w:rsidP="00E562FC">
          <w:pPr>
            <w:pStyle w:val="MediumGrid21"/>
            <w:jc w:val="right"/>
          </w:pPr>
        </w:p>
      </w:tc>
    </w:tr>
  </w:tbl>
  <w:p w:rsidR="00E80D5E" w:rsidRDefault="00E80D5E" w:rsidP="002B2D08">
    <w:pPr>
      <w:pStyle w:val="Header"/>
      <w:spacing w:after="0"/>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33AA"/>
    <w:rsid w:val="00023330"/>
    <w:rsid w:val="00036CF6"/>
    <w:rsid w:val="000907A6"/>
    <w:rsid w:val="000C3AD7"/>
    <w:rsid w:val="00100F36"/>
    <w:rsid w:val="0012496F"/>
    <w:rsid w:val="001338C1"/>
    <w:rsid w:val="00135C9E"/>
    <w:rsid w:val="001521B5"/>
    <w:rsid w:val="001667D5"/>
    <w:rsid w:val="0018676E"/>
    <w:rsid w:val="00191D0B"/>
    <w:rsid w:val="001A5F01"/>
    <w:rsid w:val="001B6ADD"/>
    <w:rsid w:val="00231416"/>
    <w:rsid w:val="002327DE"/>
    <w:rsid w:val="00245617"/>
    <w:rsid w:val="002532C7"/>
    <w:rsid w:val="002912C7"/>
    <w:rsid w:val="002A5742"/>
    <w:rsid w:val="002B2D08"/>
    <w:rsid w:val="002D42FF"/>
    <w:rsid w:val="003127EA"/>
    <w:rsid w:val="00336015"/>
    <w:rsid w:val="003A6900"/>
    <w:rsid w:val="003B7109"/>
    <w:rsid w:val="003D5AD7"/>
    <w:rsid w:val="003E472C"/>
    <w:rsid w:val="003F15EE"/>
    <w:rsid w:val="00433202"/>
    <w:rsid w:val="00471410"/>
    <w:rsid w:val="00471FDD"/>
    <w:rsid w:val="00493AD5"/>
    <w:rsid w:val="00505582"/>
    <w:rsid w:val="00505E9F"/>
    <w:rsid w:val="005B2944"/>
    <w:rsid w:val="005B6FBB"/>
    <w:rsid w:val="005D17B7"/>
    <w:rsid w:val="005D204E"/>
    <w:rsid w:val="005E6FFA"/>
    <w:rsid w:val="005F07CC"/>
    <w:rsid w:val="00604DD4"/>
    <w:rsid w:val="00616F15"/>
    <w:rsid w:val="006358F8"/>
    <w:rsid w:val="00640A3E"/>
    <w:rsid w:val="006419B7"/>
    <w:rsid w:val="0065346E"/>
    <w:rsid w:val="00655ACA"/>
    <w:rsid w:val="006629C8"/>
    <w:rsid w:val="00677FEB"/>
    <w:rsid w:val="0069717B"/>
    <w:rsid w:val="006A263E"/>
    <w:rsid w:val="006B528B"/>
    <w:rsid w:val="00722BEC"/>
    <w:rsid w:val="00725F2C"/>
    <w:rsid w:val="0075239F"/>
    <w:rsid w:val="00763EB6"/>
    <w:rsid w:val="00765981"/>
    <w:rsid w:val="00766E0E"/>
    <w:rsid w:val="007778B4"/>
    <w:rsid w:val="0078776C"/>
    <w:rsid w:val="007F1E51"/>
    <w:rsid w:val="008511EC"/>
    <w:rsid w:val="008641C9"/>
    <w:rsid w:val="00871DA8"/>
    <w:rsid w:val="00883A15"/>
    <w:rsid w:val="008A2330"/>
    <w:rsid w:val="008A2AC0"/>
    <w:rsid w:val="008A4458"/>
    <w:rsid w:val="008A7BEC"/>
    <w:rsid w:val="008B63B2"/>
    <w:rsid w:val="008D5674"/>
    <w:rsid w:val="00915096"/>
    <w:rsid w:val="0094530E"/>
    <w:rsid w:val="00946BFB"/>
    <w:rsid w:val="009606BF"/>
    <w:rsid w:val="00962B09"/>
    <w:rsid w:val="009A73F7"/>
    <w:rsid w:val="009E7609"/>
    <w:rsid w:val="00A00B13"/>
    <w:rsid w:val="00A26798"/>
    <w:rsid w:val="00A7366C"/>
    <w:rsid w:val="00A7669D"/>
    <w:rsid w:val="00A82F6A"/>
    <w:rsid w:val="00AC420C"/>
    <w:rsid w:val="00AE26B4"/>
    <w:rsid w:val="00AE72DD"/>
    <w:rsid w:val="00B12420"/>
    <w:rsid w:val="00B13BB4"/>
    <w:rsid w:val="00B56AA8"/>
    <w:rsid w:val="00B72EC2"/>
    <w:rsid w:val="00BA5047"/>
    <w:rsid w:val="00BB740C"/>
    <w:rsid w:val="00BD3621"/>
    <w:rsid w:val="00BE6480"/>
    <w:rsid w:val="00C002C2"/>
    <w:rsid w:val="00C05271"/>
    <w:rsid w:val="00C05F49"/>
    <w:rsid w:val="00C1346C"/>
    <w:rsid w:val="00C20EF1"/>
    <w:rsid w:val="00C2115E"/>
    <w:rsid w:val="00C679F2"/>
    <w:rsid w:val="00C96E0E"/>
    <w:rsid w:val="00CD0C6C"/>
    <w:rsid w:val="00CD0F06"/>
    <w:rsid w:val="00CD160F"/>
    <w:rsid w:val="00CD5B3B"/>
    <w:rsid w:val="00D06E9C"/>
    <w:rsid w:val="00D077B1"/>
    <w:rsid w:val="00D86F1D"/>
    <w:rsid w:val="00DB36BE"/>
    <w:rsid w:val="00DB7A1F"/>
    <w:rsid w:val="00DC44F8"/>
    <w:rsid w:val="00DE0F8B"/>
    <w:rsid w:val="00DF3520"/>
    <w:rsid w:val="00E0469A"/>
    <w:rsid w:val="00E1141D"/>
    <w:rsid w:val="00E51972"/>
    <w:rsid w:val="00E562FC"/>
    <w:rsid w:val="00E66E51"/>
    <w:rsid w:val="00E80D5E"/>
    <w:rsid w:val="00EA0F6C"/>
    <w:rsid w:val="00EE1530"/>
    <w:rsid w:val="00EE286D"/>
    <w:rsid w:val="00EE32F2"/>
    <w:rsid w:val="00EF39F0"/>
    <w:rsid w:val="00F33E18"/>
    <w:rsid w:val="00F56471"/>
    <w:rsid w:val="00F67D20"/>
    <w:rsid w:val="00F67FC9"/>
    <w:rsid w:val="00F90213"/>
    <w:rsid w:val="00FA2971"/>
    <w:rsid w:val="00FA7C03"/>
    <w:rsid w:val="00FB6D27"/>
    <w:rsid w:val="00FC4284"/>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1D0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1D0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3974">
      <w:bodyDiv w:val="1"/>
      <w:marLeft w:val="0"/>
      <w:marRight w:val="0"/>
      <w:marTop w:val="0"/>
      <w:marBottom w:val="0"/>
      <w:divBdr>
        <w:top w:val="none" w:sz="0" w:space="0" w:color="auto"/>
        <w:left w:val="none" w:sz="0" w:space="0" w:color="auto"/>
        <w:bottom w:val="none" w:sz="0" w:space="0" w:color="auto"/>
        <w:right w:val="none" w:sz="0" w:space="0" w:color="auto"/>
      </w:divBdr>
      <w:divsChild>
        <w:div w:id="1692224110">
          <w:marLeft w:val="0"/>
          <w:marRight w:val="0"/>
          <w:marTop w:val="0"/>
          <w:marBottom w:val="0"/>
          <w:divBdr>
            <w:top w:val="none" w:sz="0" w:space="0" w:color="auto"/>
            <w:left w:val="none" w:sz="0" w:space="0" w:color="auto"/>
            <w:bottom w:val="none" w:sz="0" w:space="0" w:color="auto"/>
            <w:right w:val="none" w:sz="0" w:space="0" w:color="auto"/>
          </w:divBdr>
          <w:divsChild>
            <w:div w:id="515000603">
              <w:marLeft w:val="0"/>
              <w:marRight w:val="0"/>
              <w:marTop w:val="0"/>
              <w:marBottom w:val="0"/>
              <w:divBdr>
                <w:top w:val="none" w:sz="0" w:space="0" w:color="auto"/>
                <w:left w:val="none" w:sz="0" w:space="0" w:color="auto"/>
                <w:bottom w:val="none" w:sz="0" w:space="0" w:color="auto"/>
                <w:right w:val="none" w:sz="0" w:space="0" w:color="auto"/>
              </w:divBdr>
              <w:divsChild>
                <w:div w:id="690449026">
                  <w:marLeft w:val="0"/>
                  <w:marRight w:val="0"/>
                  <w:marTop w:val="0"/>
                  <w:marBottom w:val="0"/>
                  <w:divBdr>
                    <w:top w:val="none" w:sz="0" w:space="0" w:color="auto"/>
                    <w:left w:val="none" w:sz="0" w:space="0" w:color="auto"/>
                    <w:bottom w:val="none" w:sz="0" w:space="0" w:color="auto"/>
                    <w:right w:val="none" w:sz="0" w:space="0" w:color="auto"/>
                  </w:divBdr>
                </w:div>
              </w:divsChild>
            </w:div>
            <w:div w:id="1034306936">
              <w:marLeft w:val="0"/>
              <w:marRight w:val="0"/>
              <w:marTop w:val="0"/>
              <w:marBottom w:val="0"/>
              <w:divBdr>
                <w:top w:val="none" w:sz="0" w:space="0" w:color="auto"/>
                <w:left w:val="none" w:sz="0" w:space="0" w:color="auto"/>
                <w:bottom w:val="none" w:sz="0" w:space="0" w:color="auto"/>
                <w:right w:val="none" w:sz="0" w:space="0" w:color="auto"/>
              </w:divBdr>
              <w:divsChild>
                <w:div w:id="539707365">
                  <w:marLeft w:val="0"/>
                  <w:marRight w:val="0"/>
                  <w:marTop w:val="0"/>
                  <w:marBottom w:val="0"/>
                  <w:divBdr>
                    <w:top w:val="none" w:sz="0" w:space="0" w:color="auto"/>
                    <w:left w:val="none" w:sz="0" w:space="0" w:color="auto"/>
                    <w:bottom w:val="none" w:sz="0" w:space="0" w:color="auto"/>
                    <w:right w:val="none" w:sz="0" w:space="0" w:color="auto"/>
                  </w:divBdr>
                </w:div>
              </w:divsChild>
            </w:div>
            <w:div w:id="919290218">
              <w:marLeft w:val="0"/>
              <w:marRight w:val="0"/>
              <w:marTop w:val="0"/>
              <w:marBottom w:val="0"/>
              <w:divBdr>
                <w:top w:val="none" w:sz="0" w:space="0" w:color="auto"/>
                <w:left w:val="none" w:sz="0" w:space="0" w:color="auto"/>
                <w:bottom w:val="none" w:sz="0" w:space="0" w:color="auto"/>
                <w:right w:val="none" w:sz="0" w:space="0" w:color="auto"/>
              </w:divBdr>
              <w:divsChild>
                <w:div w:id="739598140">
                  <w:marLeft w:val="0"/>
                  <w:marRight w:val="0"/>
                  <w:marTop w:val="0"/>
                  <w:marBottom w:val="0"/>
                  <w:divBdr>
                    <w:top w:val="none" w:sz="0" w:space="0" w:color="auto"/>
                    <w:left w:val="none" w:sz="0" w:space="0" w:color="auto"/>
                    <w:bottom w:val="none" w:sz="0" w:space="0" w:color="auto"/>
                    <w:right w:val="none" w:sz="0" w:space="0" w:color="auto"/>
                  </w:divBdr>
                </w:div>
              </w:divsChild>
            </w:div>
            <w:div w:id="699087197">
              <w:marLeft w:val="0"/>
              <w:marRight w:val="0"/>
              <w:marTop w:val="0"/>
              <w:marBottom w:val="0"/>
              <w:divBdr>
                <w:top w:val="none" w:sz="0" w:space="0" w:color="auto"/>
                <w:left w:val="none" w:sz="0" w:space="0" w:color="auto"/>
                <w:bottom w:val="none" w:sz="0" w:space="0" w:color="auto"/>
                <w:right w:val="none" w:sz="0" w:space="0" w:color="auto"/>
              </w:divBdr>
              <w:divsChild>
                <w:div w:id="146098712">
                  <w:marLeft w:val="0"/>
                  <w:marRight w:val="0"/>
                  <w:marTop w:val="0"/>
                  <w:marBottom w:val="0"/>
                  <w:divBdr>
                    <w:top w:val="none" w:sz="0" w:space="0" w:color="auto"/>
                    <w:left w:val="none" w:sz="0" w:space="0" w:color="auto"/>
                    <w:bottom w:val="none" w:sz="0" w:space="0" w:color="auto"/>
                    <w:right w:val="none" w:sz="0" w:space="0" w:color="auto"/>
                  </w:divBdr>
                </w:div>
              </w:divsChild>
            </w:div>
            <w:div w:id="1203899986">
              <w:marLeft w:val="0"/>
              <w:marRight w:val="0"/>
              <w:marTop w:val="0"/>
              <w:marBottom w:val="0"/>
              <w:divBdr>
                <w:top w:val="none" w:sz="0" w:space="0" w:color="auto"/>
                <w:left w:val="none" w:sz="0" w:space="0" w:color="auto"/>
                <w:bottom w:val="none" w:sz="0" w:space="0" w:color="auto"/>
                <w:right w:val="none" w:sz="0" w:space="0" w:color="auto"/>
              </w:divBdr>
              <w:divsChild>
                <w:div w:id="996567766">
                  <w:marLeft w:val="0"/>
                  <w:marRight w:val="0"/>
                  <w:marTop w:val="0"/>
                  <w:marBottom w:val="0"/>
                  <w:divBdr>
                    <w:top w:val="none" w:sz="0" w:space="0" w:color="auto"/>
                    <w:left w:val="none" w:sz="0" w:space="0" w:color="auto"/>
                    <w:bottom w:val="none" w:sz="0" w:space="0" w:color="auto"/>
                    <w:right w:val="none" w:sz="0" w:space="0" w:color="auto"/>
                  </w:divBdr>
                </w:div>
              </w:divsChild>
            </w:div>
            <w:div w:id="810445196">
              <w:marLeft w:val="0"/>
              <w:marRight w:val="0"/>
              <w:marTop w:val="0"/>
              <w:marBottom w:val="0"/>
              <w:divBdr>
                <w:top w:val="none" w:sz="0" w:space="0" w:color="auto"/>
                <w:left w:val="none" w:sz="0" w:space="0" w:color="auto"/>
                <w:bottom w:val="none" w:sz="0" w:space="0" w:color="auto"/>
                <w:right w:val="none" w:sz="0" w:space="0" w:color="auto"/>
              </w:divBdr>
              <w:divsChild>
                <w:div w:id="2010596511">
                  <w:marLeft w:val="0"/>
                  <w:marRight w:val="0"/>
                  <w:marTop w:val="0"/>
                  <w:marBottom w:val="0"/>
                  <w:divBdr>
                    <w:top w:val="none" w:sz="0" w:space="0" w:color="auto"/>
                    <w:left w:val="none" w:sz="0" w:space="0" w:color="auto"/>
                    <w:bottom w:val="none" w:sz="0" w:space="0" w:color="auto"/>
                    <w:right w:val="none" w:sz="0" w:space="0" w:color="auto"/>
                  </w:divBdr>
                </w:div>
              </w:divsChild>
            </w:div>
            <w:div w:id="1963608150">
              <w:marLeft w:val="0"/>
              <w:marRight w:val="0"/>
              <w:marTop w:val="0"/>
              <w:marBottom w:val="0"/>
              <w:divBdr>
                <w:top w:val="none" w:sz="0" w:space="0" w:color="auto"/>
                <w:left w:val="none" w:sz="0" w:space="0" w:color="auto"/>
                <w:bottom w:val="none" w:sz="0" w:space="0" w:color="auto"/>
                <w:right w:val="none" w:sz="0" w:space="0" w:color="auto"/>
              </w:divBdr>
              <w:divsChild>
                <w:div w:id="1115905861">
                  <w:marLeft w:val="0"/>
                  <w:marRight w:val="0"/>
                  <w:marTop w:val="0"/>
                  <w:marBottom w:val="0"/>
                  <w:divBdr>
                    <w:top w:val="none" w:sz="0" w:space="0" w:color="auto"/>
                    <w:left w:val="none" w:sz="0" w:space="0" w:color="auto"/>
                    <w:bottom w:val="none" w:sz="0" w:space="0" w:color="auto"/>
                    <w:right w:val="none" w:sz="0" w:space="0" w:color="auto"/>
                  </w:divBdr>
                </w:div>
              </w:divsChild>
            </w:div>
            <w:div w:id="2032602441">
              <w:marLeft w:val="0"/>
              <w:marRight w:val="0"/>
              <w:marTop w:val="0"/>
              <w:marBottom w:val="0"/>
              <w:divBdr>
                <w:top w:val="none" w:sz="0" w:space="0" w:color="auto"/>
                <w:left w:val="none" w:sz="0" w:space="0" w:color="auto"/>
                <w:bottom w:val="none" w:sz="0" w:space="0" w:color="auto"/>
                <w:right w:val="none" w:sz="0" w:space="0" w:color="auto"/>
              </w:divBdr>
              <w:divsChild>
                <w:div w:id="561252285">
                  <w:marLeft w:val="0"/>
                  <w:marRight w:val="0"/>
                  <w:marTop w:val="0"/>
                  <w:marBottom w:val="0"/>
                  <w:divBdr>
                    <w:top w:val="none" w:sz="0" w:space="0" w:color="auto"/>
                    <w:left w:val="none" w:sz="0" w:space="0" w:color="auto"/>
                    <w:bottom w:val="none" w:sz="0" w:space="0" w:color="auto"/>
                    <w:right w:val="none" w:sz="0" w:space="0" w:color="auto"/>
                  </w:divBdr>
                </w:div>
              </w:divsChild>
            </w:div>
            <w:div w:id="2044010513">
              <w:marLeft w:val="0"/>
              <w:marRight w:val="0"/>
              <w:marTop w:val="0"/>
              <w:marBottom w:val="0"/>
              <w:divBdr>
                <w:top w:val="none" w:sz="0" w:space="0" w:color="auto"/>
                <w:left w:val="none" w:sz="0" w:space="0" w:color="auto"/>
                <w:bottom w:val="none" w:sz="0" w:space="0" w:color="auto"/>
                <w:right w:val="none" w:sz="0" w:space="0" w:color="auto"/>
              </w:divBdr>
              <w:divsChild>
                <w:div w:id="608394923">
                  <w:marLeft w:val="0"/>
                  <w:marRight w:val="0"/>
                  <w:marTop w:val="0"/>
                  <w:marBottom w:val="0"/>
                  <w:divBdr>
                    <w:top w:val="none" w:sz="0" w:space="0" w:color="auto"/>
                    <w:left w:val="none" w:sz="0" w:space="0" w:color="auto"/>
                    <w:bottom w:val="none" w:sz="0" w:space="0" w:color="auto"/>
                    <w:right w:val="none" w:sz="0" w:space="0" w:color="auto"/>
                  </w:divBdr>
                </w:div>
              </w:divsChild>
            </w:div>
            <w:div w:id="123276927">
              <w:marLeft w:val="0"/>
              <w:marRight w:val="0"/>
              <w:marTop w:val="0"/>
              <w:marBottom w:val="0"/>
              <w:divBdr>
                <w:top w:val="none" w:sz="0" w:space="0" w:color="auto"/>
                <w:left w:val="none" w:sz="0" w:space="0" w:color="auto"/>
                <w:bottom w:val="none" w:sz="0" w:space="0" w:color="auto"/>
                <w:right w:val="none" w:sz="0" w:space="0" w:color="auto"/>
              </w:divBdr>
              <w:divsChild>
                <w:div w:id="877159735">
                  <w:marLeft w:val="0"/>
                  <w:marRight w:val="0"/>
                  <w:marTop w:val="0"/>
                  <w:marBottom w:val="0"/>
                  <w:divBdr>
                    <w:top w:val="none" w:sz="0" w:space="0" w:color="auto"/>
                    <w:left w:val="none" w:sz="0" w:space="0" w:color="auto"/>
                    <w:bottom w:val="none" w:sz="0" w:space="0" w:color="auto"/>
                    <w:right w:val="none" w:sz="0" w:space="0" w:color="auto"/>
                  </w:divBdr>
                </w:div>
              </w:divsChild>
            </w:div>
            <w:div w:id="82773762">
              <w:marLeft w:val="0"/>
              <w:marRight w:val="0"/>
              <w:marTop w:val="0"/>
              <w:marBottom w:val="0"/>
              <w:divBdr>
                <w:top w:val="none" w:sz="0" w:space="0" w:color="auto"/>
                <w:left w:val="none" w:sz="0" w:space="0" w:color="auto"/>
                <w:bottom w:val="none" w:sz="0" w:space="0" w:color="auto"/>
                <w:right w:val="none" w:sz="0" w:space="0" w:color="auto"/>
              </w:divBdr>
              <w:divsChild>
                <w:div w:id="8350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EE70-311A-467B-BE1F-CC672D5A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536</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3590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Adelina Rosu</cp:lastModifiedBy>
  <cp:revision>2</cp:revision>
  <cp:lastPrinted>2016-02-11T11:46:00Z</cp:lastPrinted>
  <dcterms:created xsi:type="dcterms:W3CDTF">2016-11-24T11:31:00Z</dcterms:created>
  <dcterms:modified xsi:type="dcterms:W3CDTF">2016-11-24T11:31:00Z</dcterms:modified>
</cp:coreProperties>
</file>